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431800</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466090</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ind w:left="5000"/>
        <w:spacing w:after="0"/>
        <w:rPr>
          <w:sz w:val="20"/>
          <w:szCs w:val="20"/>
          <w:color w:val="auto"/>
        </w:rPr>
      </w:pPr>
      <w:r>
        <w:rPr>
          <w:rFonts w:ascii="Arial" w:cs="Arial" w:eastAsia="Arial" w:hAnsi="Arial"/>
          <w:sz w:val="25"/>
          <w:szCs w:val="25"/>
          <w:b w:val="1"/>
          <w:bCs w:val="1"/>
          <w:color w:val="auto"/>
        </w:rPr>
        <w:t>FORM 6-K</w:t>
      </w:r>
    </w:p>
    <w:p>
      <w:pPr>
        <w:spacing w:after="0" w:line="200" w:lineRule="exact"/>
        <w:rPr>
          <w:sz w:val="24"/>
          <w:szCs w:val="24"/>
          <w:color w:val="auto"/>
        </w:rPr>
      </w:pPr>
    </w:p>
    <w:p>
      <w:pPr>
        <w:spacing w:after="0" w:line="250"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00" w:lineRule="exact"/>
        <w:rPr>
          <w:sz w:val="24"/>
          <w:szCs w:val="24"/>
          <w:color w:val="auto"/>
        </w:rPr>
      </w:pPr>
    </w:p>
    <w:p>
      <w:pPr>
        <w:spacing w:after="0" w:line="227"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For the month of April, 2021</w:t>
      </w:r>
    </w:p>
    <w:p>
      <w:pPr>
        <w:spacing w:after="0" w:line="225" w:lineRule="exact"/>
        <w:rPr>
          <w:sz w:val="24"/>
          <w:szCs w:val="24"/>
          <w:color w:val="auto"/>
        </w:rPr>
      </w:pPr>
    </w:p>
    <w:p>
      <w:pPr>
        <w:ind w:left="4380"/>
        <w:spacing w:after="0"/>
        <w:rPr>
          <w:sz w:val="20"/>
          <w:szCs w:val="20"/>
          <w:color w:val="auto"/>
        </w:rPr>
      </w:pPr>
      <w:r>
        <w:rPr>
          <w:rFonts w:ascii="Arial" w:cs="Arial" w:eastAsia="Arial" w:hAnsi="Arial"/>
          <w:sz w:val="18"/>
          <w:szCs w:val="18"/>
          <w:color w:val="auto"/>
        </w:rPr>
        <w:t>Commission File Number 1-11414</w:t>
      </w:r>
    </w:p>
    <w:p>
      <w:pPr>
        <w:spacing w:after="0" w:line="200" w:lineRule="exact"/>
        <w:rPr>
          <w:sz w:val="24"/>
          <w:szCs w:val="24"/>
          <w:color w:val="auto"/>
        </w:rPr>
      </w:pPr>
    </w:p>
    <w:p>
      <w:pPr>
        <w:spacing w:after="0" w:line="232"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ind w:left="3940"/>
        <w:spacing w:after="0"/>
        <w:rPr>
          <w:sz w:val="20"/>
          <w:szCs w:val="20"/>
          <w:color w:val="auto"/>
        </w:rPr>
      </w:pPr>
      <w:r>
        <w:rPr>
          <w:rFonts w:ascii="Arial" w:cs="Arial" w:eastAsia="Arial" w:hAnsi="Arial"/>
          <w:sz w:val="18"/>
          <w:szCs w:val="18"/>
          <w:color w:val="auto"/>
        </w:rPr>
        <w:t>(Translation of Registrant’s name into English)</w:t>
      </w:r>
    </w:p>
    <w:p>
      <w:pPr>
        <w:spacing w:after="0" w:line="200" w:lineRule="exact"/>
        <w:rPr>
          <w:sz w:val="24"/>
          <w:szCs w:val="24"/>
          <w:color w:val="auto"/>
        </w:rPr>
      </w:pP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080"/>
        <w:spacing w:after="0" w:line="207" w:lineRule="exact"/>
        <w:tabs>
          <w:tab w:leader="none" w:pos="618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4600"/>
        <w:spacing w:after="0" w:line="207" w:lineRule="exact"/>
        <w:tabs>
          <w:tab w:leader="none" w:pos="618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4600"/>
        <w:spacing w:after="0" w:line="207" w:lineRule="exact"/>
        <w:tabs>
          <w:tab w:leader="none" w:pos="618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207010</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224155</wp:posOffset>
            </wp:positionV>
            <wp:extent cx="71323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815975</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994"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April 27, 2021</w:t>
      </w:r>
    </w:p>
    <w:p>
      <w:pPr>
        <w:spacing w:after="0" w:line="23" w:lineRule="exact"/>
        <w:rPr>
          <w:sz w:val="20"/>
          <w:szCs w:val="20"/>
          <w:color w:val="auto"/>
        </w:rPr>
      </w:pPr>
    </w:p>
    <w:p>
      <w:pPr>
        <w:ind w:left="5460"/>
        <w:spacing w:after="0"/>
        <w:rPr>
          <w:sz w:val="20"/>
          <w:szCs w:val="20"/>
          <w:color w:val="auto"/>
        </w:rPr>
      </w:pPr>
      <w:r>
        <w:rPr>
          <w:rFonts w:ascii="Arial" w:cs="Arial" w:eastAsia="Arial" w:hAnsi="Arial"/>
          <w:sz w:val="18"/>
          <w:szCs w:val="18"/>
          <w:color w:val="auto"/>
        </w:rPr>
        <w:t>FOREIGN TRADE BANK OF LATIN AMERICA, INC.</w:t>
      </w:r>
    </w:p>
    <w:p>
      <w:pPr>
        <w:spacing w:after="0" w:line="9" w:lineRule="exact"/>
        <w:rPr>
          <w:sz w:val="20"/>
          <w:szCs w:val="20"/>
          <w:color w:val="auto"/>
        </w:rPr>
      </w:pPr>
    </w:p>
    <w:p>
      <w:pPr>
        <w:ind w:left="546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340" w:type="dxa"/>
            <w:vAlign w:val="bottom"/>
          </w:tcPr>
          <w:p>
            <w:pPr>
              <w:ind w:left="5460"/>
              <w:spacing w:after="0"/>
              <w:rPr>
                <w:sz w:val="20"/>
                <w:szCs w:val="20"/>
                <w:color w:val="auto"/>
              </w:rPr>
            </w:pPr>
            <w:r>
              <w:rPr>
                <w:rFonts w:ascii="Arial" w:cs="Arial" w:eastAsia="Arial" w:hAnsi="Arial"/>
                <w:sz w:val="18"/>
                <w:szCs w:val="18"/>
                <w:color w:val="auto"/>
              </w:rPr>
              <w:t>By:</w:t>
            </w:r>
          </w:p>
        </w:tc>
        <w:tc>
          <w:tcPr>
            <w:tcW w:w="490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Ana Graciela de Méndez</w:t>
            </w:r>
          </w:p>
        </w:tc>
      </w:tr>
      <w:tr>
        <w:trPr>
          <w:trHeight w:val="195"/>
        </w:trPr>
        <w:tc>
          <w:tcPr>
            <w:tcW w:w="6340" w:type="dxa"/>
            <w:vAlign w:val="bottom"/>
          </w:tcPr>
          <w:p>
            <w:pPr>
              <w:ind w:left="5460"/>
              <w:spacing w:after="0" w:line="195" w:lineRule="exact"/>
              <w:rPr>
                <w:sz w:val="20"/>
                <w:szCs w:val="20"/>
                <w:color w:val="auto"/>
              </w:rPr>
            </w:pPr>
            <w:r>
              <w:rPr>
                <w:rFonts w:ascii="Arial" w:cs="Arial" w:eastAsia="Arial" w:hAnsi="Arial"/>
                <w:sz w:val="18"/>
                <w:szCs w:val="18"/>
                <w:color w:val="auto"/>
              </w:rPr>
              <w:t>Name:</w:t>
            </w:r>
          </w:p>
        </w:tc>
        <w:tc>
          <w:tcPr>
            <w:tcW w:w="4900" w:type="dxa"/>
            <w:vAlign w:val="bottom"/>
          </w:tcPr>
          <w:p>
            <w:pPr>
              <w:spacing w:after="0" w:line="195" w:lineRule="exact"/>
              <w:rPr>
                <w:sz w:val="20"/>
                <w:szCs w:val="20"/>
                <w:color w:val="auto"/>
              </w:rPr>
            </w:pPr>
            <w:r>
              <w:rPr>
                <w:rFonts w:ascii="Arial" w:cs="Arial" w:eastAsia="Arial" w:hAnsi="Arial"/>
                <w:sz w:val="18"/>
                <w:szCs w:val="18"/>
                <w:color w:val="auto"/>
              </w:rPr>
              <w:t>Ana Graciela de Méndez</w:t>
            </w:r>
          </w:p>
        </w:tc>
      </w:tr>
      <w:tr>
        <w:trPr>
          <w:trHeight w:val="230"/>
        </w:trPr>
        <w:tc>
          <w:tcPr>
            <w:tcW w:w="6340" w:type="dxa"/>
            <w:vAlign w:val="bottom"/>
          </w:tcPr>
          <w:p>
            <w:pPr>
              <w:ind w:left="5460"/>
              <w:spacing w:after="0"/>
              <w:rPr>
                <w:sz w:val="20"/>
                <w:szCs w:val="20"/>
                <w:color w:val="auto"/>
              </w:rPr>
            </w:pPr>
            <w:r>
              <w:rPr>
                <w:rFonts w:ascii="Arial" w:cs="Arial" w:eastAsia="Arial" w:hAnsi="Arial"/>
                <w:sz w:val="18"/>
                <w:szCs w:val="18"/>
                <w:color w:val="auto"/>
              </w:rPr>
              <w:t>Title:</w:t>
            </w:r>
          </w:p>
        </w:tc>
        <w:tc>
          <w:tcPr>
            <w:tcW w:w="4900" w:type="dxa"/>
            <w:vAlign w:val="bottom"/>
          </w:tcPr>
          <w:p>
            <w:pPr>
              <w:spacing w:after="0"/>
              <w:rPr>
                <w:sz w:val="20"/>
                <w:szCs w:val="20"/>
                <w:color w:val="auto"/>
              </w:rPr>
            </w:pPr>
            <w:r>
              <w:rPr>
                <w:rFonts w:ascii="Arial" w:cs="Arial" w:eastAsia="Arial" w:hAnsi="Arial"/>
                <w:sz w:val="18"/>
                <w:szCs w:val="18"/>
                <w:color w:val="auto"/>
              </w:rPr>
              <w:t>CFO</w:t>
            </w:r>
          </w:p>
        </w:tc>
      </w:tr>
      <w:tr>
        <w:trPr>
          <w:trHeight w:val="675"/>
        </w:trPr>
        <w:tc>
          <w:tcPr>
            <w:tcW w:w="6340" w:type="dxa"/>
            <w:vAlign w:val="bottom"/>
            <w:tcBorders>
              <w:bottom w:val="single" w:sz="8" w:color="auto"/>
            </w:tcBorders>
          </w:tcPr>
          <w:p>
            <w:pPr>
              <w:spacing w:after="0"/>
              <w:rPr>
                <w:sz w:val="24"/>
                <w:szCs w:val="24"/>
                <w:color w:val="auto"/>
              </w:rPr>
            </w:pPr>
          </w:p>
        </w:tc>
        <w:tc>
          <w:tcPr>
            <w:tcW w:w="49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3157220</wp:posOffset>
            </wp:positionH>
            <wp:positionV relativeFrom="page">
              <wp:posOffset>586105</wp:posOffset>
            </wp:positionV>
            <wp:extent cx="1234440" cy="53149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1234440" cy="531495"/>
                    </a:xfrm>
                    <a:prstGeom prst="rect">
                      <a:avLst/>
                    </a:prstGeom>
                    <a:noFill/>
                  </pic:spPr>
                </pic:pic>
              </a:graphicData>
            </a:graphic>
          </wp:anchor>
        </w:drawing>
      </w:r>
    </w:p>
    <w:p>
      <w:pPr>
        <w:spacing w:after="0" w:line="200" w:lineRule="exact"/>
        <w:rPr>
          <w:sz w:val="20"/>
          <w:szCs w:val="20"/>
          <w:color w:val="auto"/>
        </w:rPr>
      </w:pPr>
    </w:p>
    <w:p>
      <w:pPr>
        <w:spacing w:after="0" w:line="334"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BLADEX ANNOUNCES VOTING RESULTS FROM</w:t>
      </w:r>
    </w:p>
    <w:p>
      <w:pPr>
        <w:spacing w:after="0" w:line="2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2021 ANNUAL MEETING OF SHAREHOLDERS</w:t>
      </w:r>
    </w:p>
    <w:p>
      <w:pPr>
        <w:spacing w:after="0" w:line="200" w:lineRule="exact"/>
        <w:rPr>
          <w:sz w:val="20"/>
          <w:szCs w:val="20"/>
          <w:color w:val="auto"/>
        </w:rPr>
      </w:pPr>
    </w:p>
    <w:p>
      <w:pPr>
        <w:spacing w:after="0" w:line="227"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Panama City, Republic of Panama, April 27, 2021 - Banco Latinoamericano de Comercio Exterior, S.A. (“Bladex” or the “Bank”) is pleased to announce voting results from its Annual Meeting of Shareholders held on April 21, 2021 in a virtual format.</w:t>
      </w:r>
    </w:p>
    <w:p>
      <w:pPr>
        <w:spacing w:after="0" w:line="170" w:lineRule="exact"/>
        <w:rPr>
          <w:sz w:val="20"/>
          <w:szCs w:val="20"/>
          <w:color w:val="auto"/>
        </w:rPr>
      </w:pPr>
    </w:p>
    <w:p>
      <w:pPr>
        <w:spacing w:after="0"/>
        <w:rPr>
          <w:sz w:val="20"/>
          <w:szCs w:val="20"/>
          <w:color w:val="auto"/>
        </w:rPr>
      </w:pPr>
      <w:r>
        <w:rPr>
          <w:rFonts w:ascii="Arial" w:cs="Arial" w:eastAsia="Arial" w:hAnsi="Arial"/>
          <w:sz w:val="16"/>
          <w:szCs w:val="16"/>
          <w:color w:val="auto"/>
        </w:rPr>
        <w:t>A total of approximately 64% of the issued and outstanding common shares of Bladex were represented at the meeting, and each of the three Directors of</w:t>
      </w:r>
    </w:p>
    <w:p>
      <w:pPr>
        <w:spacing w:after="0" w:line="46" w:lineRule="exact"/>
        <w:rPr>
          <w:sz w:val="20"/>
          <w:szCs w:val="20"/>
          <w:color w:val="auto"/>
        </w:rPr>
      </w:pPr>
    </w:p>
    <w:p>
      <w:pPr>
        <w:spacing w:after="0"/>
        <w:rPr>
          <w:sz w:val="20"/>
          <w:szCs w:val="20"/>
          <w:color w:val="auto"/>
        </w:rPr>
      </w:pPr>
      <w:r>
        <w:rPr>
          <w:rFonts w:ascii="Arial" w:cs="Arial" w:eastAsia="Arial" w:hAnsi="Arial"/>
          <w:sz w:val="18"/>
          <w:szCs w:val="18"/>
          <w:color w:val="auto"/>
        </w:rPr>
        <w:t>Bladex was elected as Directors of the Bank. Each Director was elected by a substantial majority as follows:</w:t>
      </w:r>
    </w:p>
    <w:p>
      <w:pPr>
        <w:spacing w:after="0" w:line="207"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860" w:type="dxa"/>
            <w:vAlign w:val="bottom"/>
            <w:tcBorders>
              <w:bottom w:val="single" w:sz="8" w:color="auto"/>
            </w:tcBorders>
          </w:tcPr>
          <w:p>
            <w:pPr>
              <w:spacing w:after="0"/>
              <w:rPr>
                <w:sz w:val="20"/>
                <w:szCs w:val="20"/>
                <w:color w:val="auto"/>
              </w:rPr>
            </w:pPr>
            <w:r>
              <w:rPr>
                <w:rFonts w:ascii="Arial" w:cs="Arial" w:eastAsia="Arial" w:hAnsi="Arial"/>
                <w:sz w:val="18"/>
                <w:szCs w:val="18"/>
                <w:b w:val="1"/>
                <w:bCs w:val="1"/>
                <w:color w:val="auto"/>
              </w:rPr>
              <w:t>Director</w:t>
            </w:r>
          </w:p>
        </w:tc>
        <w:tc>
          <w:tcPr>
            <w:tcW w:w="2900" w:type="dxa"/>
            <w:vAlign w:val="bottom"/>
            <w:tcBorders>
              <w:bottom w:val="single" w:sz="8" w:color="auto"/>
            </w:tcBorders>
          </w:tcPr>
          <w:p>
            <w:pPr>
              <w:jc w:val="center"/>
              <w:ind w:left="290"/>
              <w:spacing w:after="0"/>
              <w:rPr>
                <w:sz w:val="20"/>
                <w:szCs w:val="20"/>
                <w:color w:val="auto"/>
              </w:rPr>
            </w:pPr>
            <w:r>
              <w:rPr>
                <w:rFonts w:ascii="Arial" w:cs="Arial" w:eastAsia="Arial" w:hAnsi="Arial"/>
                <w:sz w:val="18"/>
                <w:szCs w:val="18"/>
                <w:b w:val="1"/>
                <w:bCs w:val="1"/>
                <w:color w:val="auto"/>
                <w:w w:val="83"/>
              </w:rPr>
              <w:t>Class</w:t>
            </w:r>
          </w:p>
        </w:tc>
        <w:tc>
          <w:tcPr>
            <w:tcW w:w="2620" w:type="dxa"/>
            <w:vAlign w:val="bottom"/>
            <w:tcBorders>
              <w:bottom w:val="single" w:sz="8" w:color="auto"/>
            </w:tcBorders>
          </w:tcPr>
          <w:p>
            <w:pPr>
              <w:ind w:left="840"/>
              <w:spacing w:after="0"/>
              <w:rPr>
                <w:sz w:val="20"/>
                <w:szCs w:val="20"/>
                <w:color w:val="auto"/>
              </w:rPr>
            </w:pPr>
            <w:r>
              <w:rPr>
                <w:rFonts w:ascii="Arial" w:cs="Arial" w:eastAsia="Arial" w:hAnsi="Arial"/>
                <w:sz w:val="18"/>
                <w:szCs w:val="18"/>
                <w:b w:val="1"/>
                <w:bCs w:val="1"/>
                <w:color w:val="auto"/>
              </w:rPr>
              <w:t>Votes FOR</w:t>
            </w:r>
          </w:p>
        </w:tc>
        <w:tc>
          <w:tcPr>
            <w:tcW w:w="28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3"/>
              </w:rPr>
              <w:t>% Votes FOR</w:t>
            </w:r>
          </w:p>
        </w:tc>
      </w:tr>
      <w:tr>
        <w:trPr>
          <w:trHeight w:val="195"/>
        </w:trPr>
        <w:tc>
          <w:tcPr>
            <w:tcW w:w="2860" w:type="dxa"/>
            <w:vAlign w:val="bottom"/>
          </w:tcPr>
          <w:p>
            <w:pPr>
              <w:spacing w:after="0" w:line="195" w:lineRule="exact"/>
              <w:rPr>
                <w:sz w:val="20"/>
                <w:szCs w:val="20"/>
                <w:color w:val="auto"/>
              </w:rPr>
            </w:pPr>
            <w:r>
              <w:rPr>
                <w:rFonts w:ascii="Arial" w:cs="Arial" w:eastAsia="Arial" w:hAnsi="Arial"/>
                <w:sz w:val="18"/>
                <w:szCs w:val="18"/>
                <w:color w:val="auto"/>
              </w:rPr>
              <w:t>Miguel Heras Castro</w:t>
            </w:r>
          </w:p>
        </w:tc>
        <w:tc>
          <w:tcPr>
            <w:tcW w:w="2900" w:type="dxa"/>
            <w:vAlign w:val="bottom"/>
          </w:tcPr>
          <w:p>
            <w:pPr>
              <w:jc w:val="center"/>
              <w:ind w:left="290"/>
              <w:spacing w:after="0" w:line="195" w:lineRule="exact"/>
              <w:rPr>
                <w:sz w:val="20"/>
                <w:szCs w:val="20"/>
                <w:color w:val="auto"/>
              </w:rPr>
            </w:pPr>
            <w:r>
              <w:rPr>
                <w:rFonts w:ascii="Arial" w:cs="Arial" w:eastAsia="Arial" w:hAnsi="Arial"/>
                <w:sz w:val="18"/>
                <w:szCs w:val="18"/>
                <w:color w:val="auto"/>
                <w:w w:val="99"/>
              </w:rPr>
              <w:t>E</w:t>
            </w:r>
          </w:p>
        </w:tc>
        <w:tc>
          <w:tcPr>
            <w:tcW w:w="2620" w:type="dxa"/>
            <w:vAlign w:val="bottom"/>
          </w:tcPr>
          <w:p>
            <w:pPr>
              <w:ind w:left="860"/>
              <w:spacing w:after="0" w:line="195" w:lineRule="exact"/>
              <w:rPr>
                <w:sz w:val="20"/>
                <w:szCs w:val="20"/>
                <w:color w:val="auto"/>
              </w:rPr>
            </w:pPr>
            <w:r>
              <w:rPr>
                <w:rFonts w:ascii="Arial" w:cs="Arial" w:eastAsia="Arial" w:hAnsi="Arial"/>
                <w:sz w:val="18"/>
                <w:szCs w:val="18"/>
                <w:color w:val="auto"/>
              </w:rPr>
              <w:t>18,674,936</w:t>
            </w:r>
          </w:p>
        </w:tc>
        <w:tc>
          <w:tcPr>
            <w:tcW w:w="2860" w:type="dxa"/>
            <w:vAlign w:val="bottom"/>
          </w:tcPr>
          <w:p>
            <w:pPr>
              <w:jc w:val="center"/>
              <w:spacing w:after="0" w:line="195" w:lineRule="exact"/>
              <w:rPr>
                <w:sz w:val="20"/>
                <w:szCs w:val="20"/>
                <w:color w:val="auto"/>
              </w:rPr>
            </w:pPr>
            <w:r>
              <w:rPr>
                <w:rFonts w:ascii="Arial" w:cs="Arial" w:eastAsia="Arial" w:hAnsi="Arial"/>
                <w:sz w:val="18"/>
                <w:szCs w:val="18"/>
                <w:color w:val="auto"/>
                <w:w w:val="88"/>
              </w:rPr>
              <w:t>96.93</w:t>
            </w:r>
          </w:p>
        </w:tc>
      </w:tr>
      <w:tr>
        <w:trPr>
          <w:trHeight w:val="216"/>
        </w:trPr>
        <w:tc>
          <w:tcPr>
            <w:tcW w:w="2860" w:type="dxa"/>
            <w:vAlign w:val="bottom"/>
          </w:tcPr>
          <w:p>
            <w:pPr>
              <w:spacing w:after="0"/>
              <w:rPr>
                <w:sz w:val="20"/>
                <w:szCs w:val="20"/>
                <w:color w:val="auto"/>
              </w:rPr>
            </w:pPr>
            <w:r>
              <w:rPr>
                <w:rFonts w:ascii="Arial" w:cs="Arial" w:eastAsia="Arial" w:hAnsi="Arial"/>
                <w:sz w:val="18"/>
                <w:szCs w:val="18"/>
                <w:color w:val="auto"/>
              </w:rPr>
              <w:t>Isela Costantini</w:t>
            </w:r>
          </w:p>
        </w:tc>
        <w:tc>
          <w:tcPr>
            <w:tcW w:w="2900" w:type="dxa"/>
            <w:vAlign w:val="bottom"/>
          </w:tcPr>
          <w:p>
            <w:pPr>
              <w:jc w:val="center"/>
              <w:ind w:left="310"/>
              <w:spacing w:after="0"/>
              <w:rPr>
                <w:sz w:val="20"/>
                <w:szCs w:val="20"/>
                <w:color w:val="auto"/>
              </w:rPr>
            </w:pPr>
            <w:r>
              <w:rPr>
                <w:rFonts w:ascii="Arial" w:cs="Arial" w:eastAsia="Arial" w:hAnsi="Arial"/>
                <w:sz w:val="18"/>
                <w:szCs w:val="18"/>
                <w:color w:val="auto"/>
                <w:w w:val="92"/>
              </w:rPr>
              <w:t>All Classes</w:t>
            </w:r>
          </w:p>
        </w:tc>
        <w:tc>
          <w:tcPr>
            <w:tcW w:w="2620" w:type="dxa"/>
            <w:vAlign w:val="bottom"/>
          </w:tcPr>
          <w:p>
            <w:pPr>
              <w:ind w:left="860"/>
              <w:spacing w:after="0"/>
              <w:rPr>
                <w:sz w:val="20"/>
                <w:szCs w:val="20"/>
                <w:color w:val="auto"/>
              </w:rPr>
            </w:pPr>
            <w:r>
              <w:rPr>
                <w:rFonts w:ascii="Arial" w:cs="Arial" w:eastAsia="Arial" w:hAnsi="Arial"/>
                <w:sz w:val="18"/>
                <w:szCs w:val="18"/>
                <w:color w:val="auto"/>
              </w:rPr>
              <w:t>24,889,224</w:t>
            </w:r>
          </w:p>
        </w:tc>
        <w:tc>
          <w:tcPr>
            <w:tcW w:w="2860" w:type="dxa"/>
            <w:vAlign w:val="bottom"/>
          </w:tcPr>
          <w:p>
            <w:pPr>
              <w:jc w:val="center"/>
              <w:spacing w:after="0"/>
              <w:rPr>
                <w:sz w:val="20"/>
                <w:szCs w:val="20"/>
                <w:color w:val="auto"/>
              </w:rPr>
            </w:pPr>
            <w:r>
              <w:rPr>
                <w:rFonts w:ascii="Arial" w:cs="Arial" w:eastAsia="Arial" w:hAnsi="Arial"/>
                <w:sz w:val="18"/>
                <w:szCs w:val="18"/>
                <w:color w:val="auto"/>
                <w:w w:val="88"/>
              </w:rPr>
              <w:t>97.41</w:t>
            </w:r>
          </w:p>
        </w:tc>
      </w:tr>
      <w:tr>
        <w:trPr>
          <w:trHeight w:val="230"/>
        </w:trPr>
        <w:tc>
          <w:tcPr>
            <w:tcW w:w="2860" w:type="dxa"/>
            <w:vAlign w:val="bottom"/>
          </w:tcPr>
          <w:p>
            <w:pPr>
              <w:spacing w:after="0"/>
              <w:rPr>
                <w:sz w:val="20"/>
                <w:szCs w:val="20"/>
                <w:color w:val="auto"/>
              </w:rPr>
            </w:pPr>
            <w:r>
              <w:rPr>
                <w:rFonts w:ascii="Arial" w:cs="Arial" w:eastAsia="Arial" w:hAnsi="Arial"/>
                <w:sz w:val="18"/>
                <w:szCs w:val="18"/>
                <w:color w:val="auto"/>
              </w:rPr>
              <w:t>Alexandra M. Aguirre</w:t>
            </w:r>
          </w:p>
        </w:tc>
        <w:tc>
          <w:tcPr>
            <w:tcW w:w="2900" w:type="dxa"/>
            <w:vAlign w:val="bottom"/>
          </w:tcPr>
          <w:p>
            <w:pPr>
              <w:jc w:val="center"/>
              <w:ind w:left="310"/>
              <w:spacing w:after="0"/>
              <w:rPr>
                <w:sz w:val="20"/>
                <w:szCs w:val="20"/>
                <w:color w:val="auto"/>
              </w:rPr>
            </w:pPr>
            <w:r>
              <w:rPr>
                <w:rFonts w:ascii="Arial" w:cs="Arial" w:eastAsia="Arial" w:hAnsi="Arial"/>
                <w:sz w:val="18"/>
                <w:szCs w:val="18"/>
                <w:color w:val="auto"/>
                <w:w w:val="92"/>
              </w:rPr>
              <w:t>All Classes</w:t>
            </w:r>
          </w:p>
        </w:tc>
        <w:tc>
          <w:tcPr>
            <w:tcW w:w="2620" w:type="dxa"/>
            <w:vAlign w:val="bottom"/>
          </w:tcPr>
          <w:p>
            <w:pPr>
              <w:ind w:left="860"/>
              <w:spacing w:after="0"/>
              <w:rPr>
                <w:sz w:val="20"/>
                <w:szCs w:val="20"/>
                <w:color w:val="auto"/>
              </w:rPr>
            </w:pPr>
            <w:r>
              <w:rPr>
                <w:rFonts w:ascii="Arial" w:cs="Arial" w:eastAsia="Arial" w:hAnsi="Arial"/>
                <w:sz w:val="18"/>
                <w:szCs w:val="18"/>
                <w:color w:val="auto"/>
              </w:rPr>
              <w:t>24,803,459</w:t>
            </w:r>
          </w:p>
        </w:tc>
        <w:tc>
          <w:tcPr>
            <w:tcW w:w="2860" w:type="dxa"/>
            <w:vAlign w:val="bottom"/>
          </w:tcPr>
          <w:p>
            <w:pPr>
              <w:jc w:val="center"/>
              <w:spacing w:after="0"/>
              <w:rPr>
                <w:sz w:val="20"/>
                <w:szCs w:val="20"/>
                <w:color w:val="auto"/>
              </w:rPr>
            </w:pPr>
            <w:r>
              <w:rPr>
                <w:rFonts w:ascii="Arial" w:cs="Arial" w:eastAsia="Arial" w:hAnsi="Arial"/>
                <w:sz w:val="18"/>
                <w:szCs w:val="18"/>
                <w:color w:val="auto"/>
                <w:w w:val="88"/>
              </w:rPr>
              <w:t>97.08</w:t>
            </w:r>
          </w:p>
        </w:tc>
      </w:tr>
    </w:tbl>
    <w:p>
      <w:pPr>
        <w:spacing w:after="0" w:line="202"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Bladex's audited consolidated financial statements for the fiscal year ended December 31, 2020 were approved with close to 92% of the vote; KPMG was reappointed as the Bank's independent registered public accounting firm, or external auditor, for the year ended December 31, 2021 with more than 96% of the vote; and an advisory proposal on executive compensation was approved with more than 92% of the vote cast in favor.</w:t>
      </w:r>
    </w:p>
    <w:p>
      <w:pPr>
        <w:spacing w:after="0" w:line="16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the United States of America, and a Representative License in Peru, supporting the regional expansion and servicing of its customer base, which includes financial institutions and corporations.</w:t>
      </w:r>
    </w:p>
    <w:p>
      <w:pPr>
        <w:spacing w:after="0" w:line="18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For further information on Bladex, please access its website at www.bladex.com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151765</wp:posOffset>
            </wp:positionV>
            <wp:extent cx="7132320" cy="3600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360045"/>
                    </a:xfrm>
                    <a:prstGeom prst="rect">
                      <a:avLst/>
                    </a:prstGeom>
                    <a:noFill/>
                  </pic:spPr>
                </pic:pic>
              </a:graphicData>
            </a:graphic>
          </wp:anchor>
        </w:drawing>
      </w:r>
    </w:p>
    <w:p>
      <w:pPr>
        <w:spacing w:after="0" w:line="273" w:lineRule="exact"/>
        <w:rPr>
          <w:sz w:val="20"/>
          <w:szCs w:val="20"/>
          <w:color w:val="auto"/>
        </w:rPr>
      </w:pPr>
    </w:p>
    <w:p>
      <w:pPr>
        <w:ind w:left="80" w:right="220"/>
        <w:spacing w:after="0" w:line="277" w:lineRule="auto"/>
        <w:rPr>
          <w:sz w:val="20"/>
          <w:szCs w:val="20"/>
          <w:color w:val="auto"/>
        </w:rPr>
      </w:pPr>
      <w:r>
        <w:rPr>
          <w:rFonts w:ascii="Arial" w:cs="Arial" w:eastAsia="Arial" w:hAnsi="Arial"/>
          <w:sz w:val="18"/>
          <w:szCs w:val="18"/>
          <w:color w:val="auto"/>
        </w:rPr>
        <w:t>Monica Cosulich - SVP, Finance and Investor Relations E-mail address: ir@bladex.com. Tel.: (+507) 210-8563 Head Office Address: Torre V, Business Park, Ave. La Rotonda, Urb. Costa del Este, 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588645</wp:posOffset>
            </wp:positionV>
            <wp:extent cx="71323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sectPr>
      <w:pgSz w:w="11900" w:h="16838" w:orient="portrait"/>
      <w:cols w:equalWidth="0" w:num="1">
        <w:col w:w="11240"/>
      </w:cols>
      <w:pgMar w:left="320" w:top="144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2021-04-28T06:01:00Z</dcterms:created>
  <dcterms:modified xsi:type="dcterms:W3CDTF">2021-04-28T06:01:00Z</dcterms:modified>
</cp:coreProperties>
</file>